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5769C4">
            <w:pPr>
              <w:jc w:val="center"/>
            </w:pPr>
            <w:r>
              <w:rPr>
                <w:noProof/>
                <w:lang w:val="en-CA" w:eastAsia="en-CA"/>
              </w:rPr>
              <w:drawing>
                <wp:inline distT="0" distB="0" distL="0" distR="0">
                  <wp:extent cx="929640" cy="83947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9640" cy="839470"/>
                          </a:xfrm>
                          <a:prstGeom prst="rect">
                            <a:avLst/>
                          </a:prstGeom>
                          <a:noFill/>
                          <a:ln w="9525">
                            <a:noFill/>
                            <a:miter lim="800000"/>
                            <a:headEnd/>
                            <a:tailEnd/>
                          </a:ln>
                        </pic:spPr>
                      </pic:pic>
                    </a:graphicData>
                  </a:graphic>
                </wp:inline>
              </w:drawing>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0C1721" w:rsidRPr="000C1721" w:rsidRDefault="000C1721" w:rsidP="000C1721">
            <w:pPr>
              <w:rPr>
                <w:szCs w:val="22"/>
              </w:rPr>
            </w:pPr>
            <w:r w:rsidRPr="000C1721">
              <w:rPr>
                <w:szCs w:val="22"/>
              </w:rPr>
              <w:t>PREVENTION AND MANAGEMENT OF INJURY</w:t>
            </w:r>
          </w:p>
          <w:p w:rsidR="007A496A" w:rsidRPr="000C1721" w:rsidRDefault="007A496A"/>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FD391B">
            <w:r>
              <w:t>FIT</w:t>
            </w:r>
            <w:r w:rsidR="000C1721">
              <w:t>203</w:t>
            </w:r>
          </w:p>
        </w:tc>
        <w:tc>
          <w:tcPr>
            <w:tcW w:w="1701" w:type="dxa"/>
          </w:tcPr>
          <w:p w:rsidR="007A496A" w:rsidRDefault="007A496A">
            <w:pPr>
              <w:rPr>
                <w:b/>
              </w:rPr>
            </w:pPr>
            <w:r>
              <w:rPr>
                <w:b/>
                <w:lang w:val="en-GB"/>
              </w:rPr>
              <w:t>SEMESTER:</w:t>
            </w:r>
            <w:r w:rsidR="000C1721">
              <w:rPr>
                <w:b/>
                <w:lang w:val="en-GB"/>
              </w:rPr>
              <w:t xml:space="preserve"> </w:t>
            </w:r>
            <w:r w:rsidR="000C1721" w:rsidRPr="000C1721">
              <w:rPr>
                <w:lang w:val="en-GB"/>
              </w:rPr>
              <w:t>3</w:t>
            </w:r>
          </w:p>
        </w:tc>
        <w:tc>
          <w:tcPr>
            <w:tcW w:w="1235" w:type="dxa"/>
            <w:gridSpan w:val="2"/>
          </w:tcPr>
          <w:p w:rsidR="007A496A" w:rsidRDefault="007A496A"/>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FD391B">
            <w:r>
              <w:t>FITNESS AND HEALTH PROMOTION</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41D23">
            <w:r>
              <w:t xml:space="preserve">Allan </w:t>
            </w:r>
            <w:proofErr w:type="spellStart"/>
            <w:r>
              <w:t>Kary</w:t>
            </w:r>
            <w:proofErr w:type="spellEnd"/>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0C1721">
            <w:r>
              <w:t>June/09</w:t>
            </w:r>
          </w:p>
        </w:tc>
        <w:tc>
          <w:tcPr>
            <w:tcW w:w="3690" w:type="dxa"/>
            <w:gridSpan w:val="3"/>
          </w:tcPr>
          <w:p w:rsidR="007A496A" w:rsidRDefault="007A496A">
            <w:r>
              <w:rPr>
                <w:b/>
                <w:lang w:val="en-GB"/>
              </w:rPr>
              <w:t>PREVIOUS OUTLINE DATED:</w:t>
            </w:r>
          </w:p>
        </w:tc>
        <w:tc>
          <w:tcPr>
            <w:tcW w:w="1188" w:type="dxa"/>
          </w:tcPr>
          <w:p w:rsidR="007A496A" w:rsidRDefault="007A496A"/>
        </w:tc>
      </w:tr>
      <w:tr w:rsidR="007A496A">
        <w:trPr>
          <w:cantSplit/>
        </w:trPr>
        <w:tc>
          <w:tcPr>
            <w:tcW w:w="2518" w:type="dxa"/>
          </w:tcPr>
          <w:p w:rsidR="007A496A" w:rsidRDefault="007A496A">
            <w:r>
              <w:rPr>
                <w:b/>
                <w:lang w:val="en-GB"/>
              </w:rPr>
              <w:t>APPROVED:</w:t>
            </w:r>
          </w:p>
        </w:tc>
        <w:tc>
          <w:tcPr>
            <w:tcW w:w="5150" w:type="dxa"/>
            <w:gridSpan w:val="4"/>
          </w:tcPr>
          <w:p w:rsidR="00D027BD" w:rsidRDefault="00AB5AE2">
            <w:pPr>
              <w:jc w:val="center"/>
            </w:pPr>
            <w:r>
              <w:t xml:space="preserve">“Lucy </w:t>
            </w:r>
            <w:proofErr w:type="spellStart"/>
            <w:r>
              <w:t>Pilon</w:t>
            </w:r>
            <w:proofErr w:type="spellEnd"/>
            <w:r>
              <w:t>”</w:t>
            </w:r>
          </w:p>
        </w:tc>
        <w:tc>
          <w:tcPr>
            <w:tcW w:w="1188" w:type="dxa"/>
          </w:tcPr>
          <w:p w:rsidR="007A496A" w:rsidRDefault="007A496A"/>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D027BD">
            <w:pPr>
              <w:pStyle w:val="Heading2"/>
              <w:rPr>
                <w:lang w:val="en-US"/>
              </w:rPr>
            </w:pPr>
            <w:r>
              <w:rPr>
                <w:lang w:val="en-US"/>
              </w:rPr>
              <w:t>CHAIR</w:t>
            </w:r>
            <w:r w:rsidR="00A60D53">
              <w:rPr>
                <w:lang w:val="en-US"/>
              </w:rPr>
              <w:t>, HEALTH PROGRAMS</w:t>
            </w:r>
          </w:p>
          <w:p w:rsidR="000B1DF5" w:rsidRPr="000B1DF5" w:rsidRDefault="000B1DF5" w:rsidP="000B1DF5"/>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A60D53">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A60D53">
            <w:r>
              <w:t>FIT150, PNG121</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A60D53">
            <w:r>
              <w:t>3</w:t>
            </w:r>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7A496A">
            <w:pPr>
              <w:pStyle w:val="Heading2"/>
              <w:tabs>
                <w:tab w:val="center" w:pos="4560"/>
              </w:tabs>
            </w:pPr>
            <w:r>
              <w:t>Copyright ©200</w:t>
            </w:r>
            <w:r w:rsidR="00A60D53">
              <w:t>9</w:t>
            </w:r>
            <w:r>
              <w:t xml:space="preserve"> </w:t>
            </w:r>
            <w:proofErr w:type="gramStart"/>
            <w:r>
              <w:t>The</w:t>
            </w:r>
            <w:proofErr w:type="gramEnd"/>
            <w:r>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trPr>
          <w:cantSplit/>
        </w:trPr>
        <w:tc>
          <w:tcPr>
            <w:tcW w:w="8856" w:type="dxa"/>
            <w:gridSpan w:val="6"/>
          </w:tcPr>
          <w:p w:rsidR="007A496A" w:rsidRDefault="00D027BD">
            <w:pPr>
              <w:tabs>
                <w:tab w:val="center" w:pos="4560"/>
              </w:tabs>
              <w:jc w:val="center"/>
              <w:rPr>
                <w:i/>
                <w:lang w:val="en-GB"/>
              </w:rPr>
            </w:pPr>
            <w:r>
              <w:rPr>
                <w:i/>
                <w:lang w:val="en-GB"/>
              </w:rPr>
              <w:t>School of Health and Community</w:t>
            </w:r>
            <w:r w:rsidR="007A496A">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D027BD" w:rsidRDefault="00D027BD">
            <w:pPr>
              <w:tabs>
                <w:tab w:val="center" w:pos="4560"/>
              </w:tabs>
              <w:jc w:val="center"/>
            </w:pPr>
          </w:p>
          <w:p w:rsidR="00BB5F74" w:rsidRDefault="00BB5F74">
            <w:pPr>
              <w:tabs>
                <w:tab w:val="center" w:pos="4560"/>
              </w:tabs>
              <w:jc w:val="center"/>
            </w:pPr>
          </w:p>
          <w:p w:rsidR="00AB5AE2" w:rsidRDefault="00AB5AE2">
            <w:pPr>
              <w:tabs>
                <w:tab w:val="center" w:pos="4560"/>
              </w:tabs>
              <w:jc w:val="center"/>
            </w:pPr>
          </w:p>
          <w:p w:rsidR="00D027BD" w:rsidRDefault="00D027BD">
            <w:pPr>
              <w:tabs>
                <w:tab w:val="center" w:pos="4560"/>
              </w:tabs>
              <w:jc w:val="center"/>
            </w:pPr>
          </w:p>
        </w:tc>
      </w:tr>
    </w:tbl>
    <w:p w:rsidR="005769C4" w:rsidRDefault="005769C4">
      <w:r>
        <w:br w:type="page"/>
      </w:r>
    </w:p>
    <w:tbl>
      <w:tblPr>
        <w:tblW w:w="0" w:type="auto"/>
        <w:tblLayout w:type="fixed"/>
        <w:tblLook w:val="0000"/>
      </w:tblPr>
      <w:tblGrid>
        <w:gridCol w:w="675"/>
        <w:gridCol w:w="8181"/>
      </w:tblGrid>
      <w:tr w:rsidR="007A496A">
        <w:tc>
          <w:tcPr>
            <w:tcW w:w="675" w:type="dxa"/>
          </w:tcPr>
          <w:p w:rsidR="007A496A" w:rsidRDefault="005769C4">
            <w:pPr>
              <w:rPr>
                <w:b/>
              </w:rPr>
            </w:pPr>
            <w:r>
              <w:rPr>
                <w:i/>
                <w:lang w:val="en-GB"/>
              </w:rPr>
              <w:lastRenderedPageBreak/>
              <w:br w:type="page"/>
            </w:r>
            <w:r w:rsidR="00D027BD">
              <w:rPr>
                <w:i/>
                <w:lang w:val="en-GB"/>
              </w:rPr>
              <w:br w:type="page"/>
            </w:r>
            <w:r w:rsidR="007A496A">
              <w:rPr>
                <w:b/>
              </w:rPr>
              <w:t>I.</w:t>
            </w:r>
          </w:p>
        </w:tc>
        <w:tc>
          <w:tcPr>
            <w:tcW w:w="8181" w:type="dxa"/>
          </w:tcPr>
          <w:p w:rsidR="007A496A" w:rsidRDefault="007A496A">
            <w:pPr>
              <w:rPr>
                <w:bCs/>
              </w:rPr>
            </w:pPr>
            <w:r>
              <w:rPr>
                <w:b/>
              </w:rPr>
              <w:t>COURSE DESCRIPTION:</w:t>
            </w:r>
          </w:p>
          <w:p w:rsidR="007A496A" w:rsidRDefault="007A496A">
            <w:pPr>
              <w:rPr>
                <w:bCs/>
              </w:rPr>
            </w:pPr>
          </w:p>
          <w:p w:rsidR="00BA097E" w:rsidRPr="00CF3948" w:rsidRDefault="00BA097E" w:rsidP="00BA097E">
            <w:pPr>
              <w:ind w:firstLine="720"/>
            </w:pPr>
            <w:r w:rsidRPr="00CF3948">
              <w:t>This course explores risk factors inv</w:t>
            </w:r>
            <w:r>
              <w:t>olved with regular exercise,</w:t>
            </w:r>
            <w:r w:rsidRPr="00CF3948">
              <w:t xml:space="preserve"> sport and exercise specific injuries. Basic first aid principles will be reviewed in relation to athletic injuries as well as the physiological cause and appropriate prevention techniques to prevent reoccurrence. The role of the athletic trainer or personal trainer when considering athletic equipment, playing surfaces and environmental factors such as heat and cold, and a variety of charting methods for client records will be included. This course will have both theory and applied components so students will gain practical knowledge along with their theory base.  </w:t>
            </w:r>
          </w:p>
          <w:p w:rsidR="007A496A" w:rsidRDefault="007A496A" w:rsidP="00BA097E">
            <w:pPr>
              <w:ind w:firstLine="720"/>
              <w:rPr>
                <w:bCs/>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tcPr>
          <w:p w:rsidR="0068215D" w:rsidRPr="00CF3948" w:rsidRDefault="0068215D" w:rsidP="005769C4">
            <w:r w:rsidRPr="00CF3948">
              <w:t>Upon completion of this course the graduate has reliably demonstrated the ability to:</w:t>
            </w:r>
          </w:p>
          <w:p w:rsidR="0068215D" w:rsidRPr="00CF3948" w:rsidRDefault="0068215D" w:rsidP="0068215D">
            <w:pPr>
              <w:ind w:firstLine="720"/>
            </w:pPr>
          </w:p>
          <w:p w:rsidR="0068215D" w:rsidRPr="00CF3948" w:rsidRDefault="0068215D" w:rsidP="005769C4">
            <w:pPr>
              <w:numPr>
                <w:ilvl w:val="0"/>
                <w:numId w:val="18"/>
              </w:numPr>
            </w:pPr>
            <w:r w:rsidRPr="00CF3948">
              <w:t>Evaluate the risk factors involved with regular exercise, sports, and identification and treatment of exercise specific injuries</w:t>
            </w:r>
          </w:p>
          <w:p w:rsidR="0068215D" w:rsidRPr="00CF3948" w:rsidRDefault="0068215D" w:rsidP="0068215D">
            <w:pPr>
              <w:ind w:firstLine="720"/>
            </w:pPr>
          </w:p>
          <w:p w:rsidR="0068215D" w:rsidRPr="00CF3948" w:rsidRDefault="0068215D" w:rsidP="005769C4">
            <w:pPr>
              <w:numPr>
                <w:ilvl w:val="0"/>
                <w:numId w:val="18"/>
              </w:numPr>
            </w:pPr>
            <w:r w:rsidRPr="00CF3948">
              <w:t>Apply basic first aid knowledge</w:t>
            </w:r>
          </w:p>
          <w:p w:rsidR="0068215D" w:rsidRPr="00CF3948" w:rsidRDefault="0068215D" w:rsidP="0068215D">
            <w:pPr>
              <w:ind w:firstLine="720"/>
            </w:pPr>
          </w:p>
          <w:p w:rsidR="0068215D" w:rsidRPr="00CF3948" w:rsidRDefault="0068215D" w:rsidP="005769C4">
            <w:pPr>
              <w:numPr>
                <w:ilvl w:val="0"/>
                <w:numId w:val="18"/>
              </w:numPr>
            </w:pPr>
            <w:r w:rsidRPr="00CF3948">
              <w:t>Evaluate the causes of athletic injuries and implement preventative measures to reduce athletic injuries</w:t>
            </w:r>
          </w:p>
          <w:p w:rsidR="0068215D" w:rsidRPr="00CF3948" w:rsidRDefault="0068215D" w:rsidP="0068215D">
            <w:pPr>
              <w:ind w:firstLine="720"/>
            </w:pPr>
          </w:p>
          <w:p w:rsidR="0068215D" w:rsidRPr="00CF3948" w:rsidRDefault="0068215D" w:rsidP="005769C4">
            <w:pPr>
              <w:numPr>
                <w:ilvl w:val="0"/>
                <w:numId w:val="18"/>
              </w:numPr>
            </w:pPr>
            <w:r w:rsidRPr="00CF3948">
              <w:t>Appraise the roles of athletic trainer or personal trainer when considering athletic equipment, playing surfaces and environmental factors</w:t>
            </w:r>
          </w:p>
          <w:p w:rsidR="0068215D" w:rsidRPr="00CF3948" w:rsidRDefault="0068215D" w:rsidP="0068215D">
            <w:pPr>
              <w:ind w:firstLine="720"/>
            </w:pPr>
          </w:p>
          <w:p w:rsidR="0068215D" w:rsidRDefault="0068215D" w:rsidP="005769C4">
            <w:pPr>
              <w:numPr>
                <w:ilvl w:val="0"/>
                <w:numId w:val="18"/>
              </w:numPr>
              <w:rPr>
                <w:b/>
              </w:rPr>
            </w:pPr>
            <w:r w:rsidRPr="00CF3948">
              <w:t>Utilize a variety of charting methods for client records</w:t>
            </w:r>
          </w:p>
          <w:p w:rsidR="007A496A" w:rsidRDefault="007A496A"/>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III.</w:t>
            </w:r>
          </w:p>
        </w:tc>
        <w:tc>
          <w:tcPr>
            <w:tcW w:w="8181" w:type="dxa"/>
          </w:tcPr>
          <w:p w:rsidR="007A496A" w:rsidRDefault="007A496A">
            <w:pPr>
              <w:rPr>
                <w:b/>
              </w:rPr>
            </w:pPr>
            <w:r>
              <w:rPr>
                <w:b/>
              </w:rPr>
              <w:t>TOPICS:</w:t>
            </w:r>
          </w:p>
          <w:p w:rsidR="0068215D" w:rsidRDefault="0068215D" w:rsidP="009E5C72">
            <w:pPr>
              <w:rPr>
                <w:b/>
              </w:rPr>
            </w:pPr>
          </w:p>
          <w:p w:rsidR="009E5C72" w:rsidRDefault="009E5C72" w:rsidP="005769C4">
            <w:pPr>
              <w:numPr>
                <w:ilvl w:val="0"/>
                <w:numId w:val="16"/>
              </w:numPr>
            </w:pPr>
            <w:r>
              <w:t xml:space="preserve">A comprehensive look at the adaptations </w:t>
            </w:r>
            <w:r w:rsidR="00E92CF0">
              <w:t>to an exercise program necessary</w:t>
            </w:r>
            <w:r>
              <w:t xml:space="preserve"> to prevent injury and enhance overall wellness</w:t>
            </w:r>
            <w:r w:rsidR="00E92CF0">
              <w:t xml:space="preserve"> for people with the following conditions</w:t>
            </w:r>
            <w:r>
              <w:t xml:space="preserve">: Obesity, Cardiovascular diseases, pulmonary diseases, </w:t>
            </w:r>
            <w:proofErr w:type="gramStart"/>
            <w:r w:rsidR="00E92CF0">
              <w:t>Neuromuscular</w:t>
            </w:r>
            <w:proofErr w:type="gramEnd"/>
            <w:r w:rsidR="00E92CF0">
              <w:t xml:space="preserve"> disease, Cognitive/Emotional diseases, Oncology, Diabetes.</w:t>
            </w:r>
          </w:p>
          <w:p w:rsidR="00E92CF0" w:rsidRDefault="00E92CF0" w:rsidP="00E92CF0"/>
          <w:p w:rsidR="00E92CF0" w:rsidRDefault="00303A7D" w:rsidP="005769C4">
            <w:pPr>
              <w:numPr>
                <w:ilvl w:val="0"/>
                <w:numId w:val="16"/>
              </w:numPr>
            </w:pPr>
            <w:r>
              <w:t xml:space="preserve">First-Aid treatment and ongoing treatment for common sport and training injuries such as sprains, strains, </w:t>
            </w:r>
            <w:proofErr w:type="spellStart"/>
            <w:r>
              <w:t>tenosynovitis</w:t>
            </w:r>
            <w:proofErr w:type="spellEnd"/>
            <w:r>
              <w:t xml:space="preserve">, meniscus injuries, rotator cuff injuries, </w:t>
            </w:r>
            <w:r w:rsidR="00A5445D">
              <w:t>and fractures.</w:t>
            </w:r>
          </w:p>
          <w:p w:rsidR="00A5445D" w:rsidRDefault="00A5445D" w:rsidP="00A5445D">
            <w:pPr>
              <w:pStyle w:val="ListParagraph"/>
            </w:pPr>
          </w:p>
          <w:p w:rsidR="00A5445D" w:rsidRDefault="00A5445D" w:rsidP="005769C4">
            <w:pPr>
              <w:numPr>
                <w:ilvl w:val="0"/>
                <w:numId w:val="16"/>
              </w:numPr>
            </w:pPr>
            <w:r>
              <w:t xml:space="preserve">Look at a variety of sporting equipment, sporting surfaces and training environments and </w:t>
            </w:r>
            <w:proofErr w:type="spellStart"/>
            <w:r>
              <w:t>evaluatuate</w:t>
            </w:r>
            <w:proofErr w:type="spellEnd"/>
            <w:r>
              <w:t xml:space="preserve"> their impact on performance.</w:t>
            </w:r>
          </w:p>
          <w:p w:rsidR="00A5445D" w:rsidRDefault="00A5445D" w:rsidP="00A5445D">
            <w:pPr>
              <w:pStyle w:val="ListParagraph"/>
            </w:pPr>
          </w:p>
          <w:p w:rsidR="00A5445D" w:rsidRPr="009E5C72" w:rsidRDefault="006340D7" w:rsidP="005769C4">
            <w:pPr>
              <w:numPr>
                <w:ilvl w:val="0"/>
                <w:numId w:val="16"/>
              </w:numPr>
            </w:pPr>
            <w:r>
              <w:t>Utilize SOAP charting and review other charting methods of record keeping.</w:t>
            </w:r>
          </w:p>
          <w:p w:rsidR="007A496A" w:rsidRDefault="007A496A"/>
        </w:tc>
      </w:tr>
    </w:tbl>
    <w:p w:rsidR="005769C4" w:rsidRDefault="005769C4">
      <w:r>
        <w:br w:type="page"/>
      </w:r>
    </w:p>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lastRenderedPageBreak/>
              <w:t>IV.</w:t>
            </w:r>
          </w:p>
        </w:tc>
        <w:tc>
          <w:tcPr>
            <w:tcW w:w="8181" w:type="dxa"/>
          </w:tcPr>
          <w:p w:rsidR="005769C4" w:rsidRDefault="007A496A">
            <w:pPr>
              <w:rPr>
                <w:b/>
              </w:rPr>
            </w:pPr>
            <w:r>
              <w:rPr>
                <w:b/>
              </w:rPr>
              <w:t>REQUIRED RESOURCES/TEXTS/MATERIALS:</w:t>
            </w:r>
          </w:p>
          <w:p w:rsidR="005769C4" w:rsidRDefault="005769C4">
            <w:pPr>
              <w:rPr>
                <w:b/>
              </w:rPr>
            </w:pPr>
          </w:p>
          <w:p w:rsidR="00B43C14" w:rsidRDefault="00E97F59">
            <w:pPr>
              <w:rPr>
                <w:bCs/>
              </w:rPr>
            </w:pPr>
            <w:r>
              <w:rPr>
                <w:bCs/>
              </w:rPr>
              <w:t>Exercise Physiology: Energy, Nutrition &amp; Human Performance 6</w:t>
            </w:r>
            <w:r w:rsidRPr="00E97F59">
              <w:rPr>
                <w:bCs/>
                <w:vertAlign w:val="superscript"/>
              </w:rPr>
              <w:t>th</w:t>
            </w:r>
            <w:r>
              <w:rPr>
                <w:bCs/>
              </w:rPr>
              <w:t xml:space="preserve"> ed. By </w:t>
            </w:r>
            <w:proofErr w:type="spellStart"/>
            <w:r>
              <w:rPr>
                <w:bCs/>
              </w:rPr>
              <w:t>McArdle</w:t>
            </w:r>
            <w:proofErr w:type="spellEnd"/>
            <w:r>
              <w:rPr>
                <w:bCs/>
              </w:rPr>
              <w:t xml:space="preserve">, </w:t>
            </w:r>
            <w:proofErr w:type="spellStart"/>
            <w:r>
              <w:rPr>
                <w:bCs/>
              </w:rPr>
              <w:t>Katch</w:t>
            </w:r>
            <w:proofErr w:type="spellEnd"/>
            <w:r>
              <w:rPr>
                <w:bCs/>
              </w:rPr>
              <w:t xml:space="preserve"> </w:t>
            </w:r>
            <w:proofErr w:type="spellStart"/>
            <w:r>
              <w:rPr>
                <w:bCs/>
              </w:rPr>
              <w:t>ands</w:t>
            </w:r>
            <w:proofErr w:type="spellEnd"/>
            <w:r>
              <w:rPr>
                <w:bCs/>
              </w:rPr>
              <w:t xml:space="preserve"> </w:t>
            </w:r>
            <w:proofErr w:type="spellStart"/>
            <w:r>
              <w:rPr>
                <w:bCs/>
              </w:rPr>
              <w:t>Katch</w:t>
            </w:r>
            <w:proofErr w:type="spellEnd"/>
            <w:r>
              <w:rPr>
                <w:bCs/>
              </w:rPr>
              <w:t>.</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rsidTr="006340D7">
        <w:trPr>
          <w:cantSplit/>
          <w:trHeight w:val="477"/>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5769C4" w:rsidRDefault="005769C4"/>
          <w:p w:rsidR="00122141" w:rsidRDefault="006340D7">
            <w:r>
              <w:t>There will be 2 quizzes worth 20</w:t>
            </w:r>
            <w:r w:rsidR="00F24555">
              <w:t>% each</w:t>
            </w:r>
            <w:r w:rsidR="00122141">
              <w:t xml:space="preserve">. </w:t>
            </w:r>
          </w:p>
          <w:p w:rsidR="006340D7" w:rsidRDefault="006340D7">
            <w:r>
              <w:t xml:space="preserve">There will be 2 assignments worth </w:t>
            </w:r>
            <w:r w:rsidR="00A1254B">
              <w:t xml:space="preserve">15% each </w:t>
            </w:r>
            <w:r>
              <w:t xml:space="preserve"> </w:t>
            </w:r>
          </w:p>
          <w:p w:rsidR="00A1254B" w:rsidRPr="00122141" w:rsidRDefault="00A1254B">
            <w:r>
              <w:t>There will be 2 class presentations. One worth 20%, the other worth 10%</w:t>
            </w:r>
          </w:p>
          <w:p w:rsidR="007A496A" w:rsidRDefault="007A496A" w:rsidP="00DE6B74"/>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5769C4">
      <w:r>
        <w:br w:type="page"/>
      </w:r>
    </w:p>
    <w:p w:rsidR="005769C4" w:rsidRPr="0016366B" w:rsidRDefault="005769C4" w:rsidP="005769C4">
      <w:pPr>
        <w:pStyle w:val="PlainText"/>
        <w:rPr>
          <w:rFonts w:ascii="Arial" w:hAnsi="Arial" w:cs="Arial"/>
          <w:b/>
          <w:i/>
          <w:sz w:val="22"/>
          <w:szCs w:val="22"/>
        </w:rPr>
      </w:pPr>
      <w:r w:rsidRPr="0016366B">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5769C4" w:rsidRPr="0016366B" w:rsidRDefault="005769C4" w:rsidP="005769C4">
      <w:pPr>
        <w:rPr>
          <w:rFonts w:cs="Arial"/>
          <w:szCs w:val="22"/>
        </w:rPr>
      </w:pPr>
    </w:p>
    <w:tbl>
      <w:tblPr>
        <w:tblW w:w="0" w:type="auto"/>
        <w:tblLayout w:type="fixed"/>
        <w:tblLook w:val="0000"/>
      </w:tblPr>
      <w:tblGrid>
        <w:gridCol w:w="675"/>
        <w:gridCol w:w="8181"/>
      </w:tblGrid>
      <w:tr w:rsidR="005769C4" w:rsidTr="006D67D8">
        <w:trPr>
          <w:cantSplit/>
        </w:trPr>
        <w:tc>
          <w:tcPr>
            <w:tcW w:w="675" w:type="dxa"/>
          </w:tcPr>
          <w:p w:rsidR="005769C4" w:rsidRDefault="005769C4" w:rsidP="006D67D8">
            <w:pPr>
              <w:rPr>
                <w:b/>
              </w:rPr>
            </w:pPr>
            <w:r>
              <w:rPr>
                <w:b/>
              </w:rPr>
              <w:t>VI.</w:t>
            </w:r>
          </w:p>
        </w:tc>
        <w:tc>
          <w:tcPr>
            <w:tcW w:w="8181" w:type="dxa"/>
          </w:tcPr>
          <w:p w:rsidR="005769C4" w:rsidRDefault="005769C4" w:rsidP="006D67D8">
            <w:pPr>
              <w:rPr>
                <w:b/>
              </w:rPr>
            </w:pPr>
            <w:r>
              <w:rPr>
                <w:b/>
              </w:rPr>
              <w:t>SPECIAL NOTES:</w:t>
            </w:r>
          </w:p>
          <w:p w:rsidR="005769C4" w:rsidRDefault="005769C4" w:rsidP="006D67D8"/>
        </w:tc>
      </w:tr>
      <w:tr w:rsidR="005769C4" w:rsidRPr="0016366B" w:rsidTr="006D67D8">
        <w:trPr>
          <w:cantSplit/>
        </w:trPr>
        <w:tc>
          <w:tcPr>
            <w:tcW w:w="675" w:type="dxa"/>
          </w:tcPr>
          <w:p w:rsidR="005769C4" w:rsidRPr="0016366B" w:rsidRDefault="005769C4" w:rsidP="006D67D8">
            <w:pPr>
              <w:rPr>
                <w:b/>
                <w:szCs w:val="22"/>
              </w:rPr>
            </w:pPr>
          </w:p>
        </w:tc>
        <w:tc>
          <w:tcPr>
            <w:tcW w:w="8181" w:type="dxa"/>
          </w:tcPr>
          <w:p w:rsidR="005769C4" w:rsidRPr="0016366B" w:rsidRDefault="005769C4" w:rsidP="006D67D8">
            <w:pPr>
              <w:rPr>
                <w:szCs w:val="22"/>
              </w:rPr>
            </w:pPr>
            <w:r w:rsidRPr="0016366B">
              <w:rPr>
                <w:szCs w:val="22"/>
                <w:u w:val="single"/>
              </w:rPr>
              <w:t>Course Outline Amendments</w:t>
            </w:r>
            <w:r w:rsidRPr="0016366B">
              <w:rPr>
                <w:szCs w:val="22"/>
              </w:rPr>
              <w:t>:</w:t>
            </w:r>
          </w:p>
          <w:p w:rsidR="005769C4" w:rsidRPr="0016366B" w:rsidRDefault="005769C4" w:rsidP="006D67D8">
            <w:pPr>
              <w:rPr>
                <w:szCs w:val="22"/>
              </w:rPr>
            </w:pPr>
            <w:r w:rsidRPr="0016366B">
              <w:rPr>
                <w:szCs w:val="22"/>
              </w:rPr>
              <w:t>The professor reserves the right to change the information contained in this course outline depending on the needs of the learner and the availability of resources.</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b/>
                <w:szCs w:val="22"/>
              </w:rPr>
            </w:pPr>
          </w:p>
        </w:tc>
        <w:tc>
          <w:tcPr>
            <w:tcW w:w="8181" w:type="dxa"/>
          </w:tcPr>
          <w:p w:rsidR="005769C4" w:rsidRPr="0016366B" w:rsidRDefault="005769C4" w:rsidP="006D67D8">
            <w:pPr>
              <w:rPr>
                <w:szCs w:val="22"/>
              </w:rPr>
            </w:pPr>
            <w:r w:rsidRPr="0016366B">
              <w:rPr>
                <w:szCs w:val="22"/>
                <w:u w:val="single"/>
              </w:rPr>
              <w:t>Retention of Course Outlines</w:t>
            </w:r>
            <w:r w:rsidRPr="0016366B">
              <w:rPr>
                <w:szCs w:val="22"/>
              </w:rPr>
              <w:t>:</w:t>
            </w:r>
          </w:p>
          <w:p w:rsidR="005769C4" w:rsidRPr="0016366B" w:rsidRDefault="005769C4" w:rsidP="006D67D8">
            <w:pPr>
              <w:rPr>
                <w:szCs w:val="22"/>
              </w:rPr>
            </w:pPr>
            <w:r w:rsidRPr="0016366B">
              <w:rPr>
                <w:szCs w:val="22"/>
              </w:rPr>
              <w:t>It is the responsibility of the student to retain all course outlines for possible future use in acquiring advanced standing at other postsecondary institutions.</w:t>
            </w:r>
          </w:p>
          <w:p w:rsidR="005769C4" w:rsidRPr="0016366B" w:rsidRDefault="005769C4" w:rsidP="006D67D8">
            <w:pPr>
              <w:rPr>
                <w:b/>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b/>
                <w:szCs w:val="22"/>
              </w:rPr>
            </w:pPr>
            <w:r w:rsidRPr="0016366B">
              <w:rPr>
                <w:szCs w:val="22"/>
                <w:u w:val="single"/>
              </w:rPr>
              <w:t>Prior Learning Assessment</w:t>
            </w:r>
            <w:r w:rsidRPr="0016366B">
              <w:rPr>
                <w:b/>
                <w:szCs w:val="22"/>
              </w:rPr>
              <w:t>:</w:t>
            </w:r>
          </w:p>
          <w:p w:rsidR="005769C4" w:rsidRPr="0016366B" w:rsidRDefault="005769C4" w:rsidP="006D67D8">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5769C4" w:rsidRPr="0016366B" w:rsidRDefault="005769C4" w:rsidP="006D67D8">
            <w:pPr>
              <w:rPr>
                <w:szCs w:val="22"/>
              </w:rPr>
            </w:pPr>
          </w:p>
          <w:p w:rsidR="005769C4" w:rsidRPr="0016366B" w:rsidRDefault="005769C4" w:rsidP="006D67D8">
            <w:pPr>
              <w:rPr>
                <w:szCs w:val="22"/>
              </w:rPr>
            </w:pPr>
            <w:r w:rsidRPr="0016366B">
              <w:rPr>
                <w:szCs w:val="22"/>
              </w:rPr>
              <w:t>Credit for prior learning will also be given upon successful completion of a challenge exam or portfolio.</w:t>
            </w:r>
          </w:p>
          <w:p w:rsidR="005769C4" w:rsidRPr="0016366B" w:rsidRDefault="005769C4" w:rsidP="006D67D8">
            <w:pPr>
              <w:rPr>
                <w:szCs w:val="22"/>
              </w:rPr>
            </w:pPr>
          </w:p>
          <w:p w:rsidR="005769C4" w:rsidRPr="0016366B" w:rsidRDefault="005769C4" w:rsidP="006D67D8">
            <w:pPr>
              <w:rPr>
                <w:szCs w:val="22"/>
              </w:rPr>
            </w:pPr>
            <w:r w:rsidRPr="0016366B">
              <w:rPr>
                <w:szCs w:val="22"/>
              </w:rPr>
              <w:t>Substitute course information is available in the Registrar's office.</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szCs w:val="22"/>
              </w:rPr>
            </w:pPr>
            <w:r w:rsidRPr="0016366B">
              <w:rPr>
                <w:szCs w:val="22"/>
                <w:u w:val="single"/>
              </w:rPr>
              <w:t>Disability Services</w:t>
            </w:r>
            <w:r w:rsidRPr="0016366B">
              <w:rPr>
                <w:szCs w:val="22"/>
              </w:rPr>
              <w:t>:</w:t>
            </w:r>
          </w:p>
          <w:p w:rsidR="005769C4" w:rsidRPr="0016366B" w:rsidRDefault="005769C4" w:rsidP="006D67D8">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szCs w:val="22"/>
                <w:u w:val="single"/>
              </w:rPr>
            </w:pPr>
            <w:r w:rsidRPr="0016366B">
              <w:rPr>
                <w:szCs w:val="22"/>
                <w:u w:val="single"/>
              </w:rPr>
              <w:t>Communication:</w:t>
            </w:r>
          </w:p>
          <w:p w:rsidR="005769C4" w:rsidRPr="0016366B" w:rsidRDefault="005769C4" w:rsidP="006D67D8">
            <w:pPr>
              <w:rPr>
                <w:color w:val="0000FF"/>
                <w:szCs w:val="22"/>
                <w:lang w:val="en-CA" w:eastAsia="en-CA"/>
              </w:rPr>
            </w:pPr>
            <w:r w:rsidRPr="0016366B">
              <w:rPr>
                <w:rFonts w:cs="Arial"/>
                <w:szCs w:val="22"/>
                <w:lang w:val="en-CA" w:eastAsia="en-CA"/>
              </w:rPr>
              <w:t xml:space="preserve">The College considers </w:t>
            </w:r>
            <w:proofErr w:type="spellStart"/>
            <w:r w:rsidRPr="0016366B">
              <w:rPr>
                <w:rFonts w:cs="Arial"/>
                <w:b/>
                <w:bCs/>
                <w:i/>
                <w:iCs/>
                <w:szCs w:val="22"/>
                <w:lang w:val="en-CA" w:eastAsia="en-CA"/>
              </w:rPr>
              <w:t>WebCT</w:t>
            </w:r>
            <w:proofErr w:type="spellEnd"/>
            <w:r w:rsidRPr="0016366B">
              <w:rPr>
                <w:rFonts w:cs="Arial"/>
                <w:b/>
                <w:bCs/>
                <w:i/>
                <w:iCs/>
                <w:szCs w:val="22"/>
                <w:lang w:val="en-CA" w:eastAsia="en-CA"/>
              </w:rPr>
              <w:t>/</w:t>
            </w:r>
            <w:proofErr w:type="spellStart"/>
            <w:r w:rsidRPr="0016366B">
              <w:rPr>
                <w:rFonts w:cs="Arial"/>
                <w:b/>
                <w:bCs/>
                <w:i/>
                <w:iCs/>
                <w:szCs w:val="22"/>
                <w:lang w:val="en-CA" w:eastAsia="en-CA"/>
              </w:rPr>
              <w:t>LMS</w:t>
            </w:r>
            <w:proofErr w:type="spellEnd"/>
            <w:r w:rsidRPr="0016366B">
              <w:rPr>
                <w:rFonts w:cs="Arial"/>
                <w:b/>
                <w:bCs/>
                <w:i/>
                <w:iCs/>
                <w:szCs w:val="22"/>
                <w:lang w:val="en-CA" w:eastAsia="en-CA"/>
              </w:rPr>
              <w:t> </w:t>
            </w:r>
            <w:r w:rsidRPr="0016366B">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cs="Arial"/>
                <w:b/>
                <w:bCs/>
                <w:i/>
                <w:iCs/>
                <w:szCs w:val="22"/>
                <w:lang w:val="en-CA" w:eastAsia="en-CA"/>
              </w:rPr>
              <w:t>Learning Management System</w:t>
            </w:r>
            <w:r w:rsidRPr="0016366B">
              <w:rPr>
                <w:rFonts w:cs="Arial"/>
                <w:szCs w:val="22"/>
                <w:lang w:val="en-CA" w:eastAsia="en-CA"/>
              </w:rPr>
              <w:t xml:space="preserve"> communication tool</w:t>
            </w:r>
            <w:r w:rsidRPr="0016366B">
              <w:rPr>
                <w:rFonts w:cs="Arial"/>
                <w:color w:val="0000FF"/>
                <w:szCs w:val="22"/>
                <w:lang w:val="en-CA" w:eastAsia="en-CA"/>
              </w:rPr>
              <w:t>.</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szCs w:val="22"/>
              </w:rPr>
            </w:pPr>
            <w:r w:rsidRPr="0016366B">
              <w:rPr>
                <w:szCs w:val="22"/>
                <w:u w:val="single"/>
              </w:rPr>
              <w:t>Plagiarism</w:t>
            </w:r>
            <w:r w:rsidRPr="0016366B">
              <w:rPr>
                <w:szCs w:val="22"/>
              </w:rPr>
              <w:t>:</w:t>
            </w:r>
          </w:p>
          <w:p w:rsidR="005769C4" w:rsidRPr="0016366B" w:rsidRDefault="005769C4" w:rsidP="006D67D8">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5769C4" w:rsidRPr="0016366B" w:rsidRDefault="005769C4" w:rsidP="005769C4">
            <w:pPr>
              <w:pStyle w:val="Default"/>
              <w:numPr>
                <w:ilvl w:val="0"/>
                <w:numId w:val="19"/>
              </w:numPr>
              <w:ind w:left="720" w:hanging="660"/>
              <w:rPr>
                <w:sz w:val="22"/>
                <w:szCs w:val="22"/>
              </w:rPr>
            </w:pPr>
            <w:r w:rsidRPr="0016366B">
              <w:rPr>
                <w:sz w:val="22"/>
                <w:szCs w:val="22"/>
              </w:rPr>
              <w:t xml:space="preserve">issue a verbal reprimand, </w:t>
            </w:r>
          </w:p>
          <w:p w:rsidR="005769C4" w:rsidRPr="0016366B" w:rsidRDefault="005769C4" w:rsidP="005769C4">
            <w:pPr>
              <w:pStyle w:val="Default"/>
              <w:numPr>
                <w:ilvl w:val="0"/>
                <w:numId w:val="19"/>
              </w:numPr>
              <w:ind w:left="720" w:hanging="660"/>
              <w:rPr>
                <w:sz w:val="22"/>
                <w:szCs w:val="22"/>
              </w:rPr>
            </w:pPr>
            <w:r w:rsidRPr="0016366B">
              <w:rPr>
                <w:sz w:val="22"/>
                <w:szCs w:val="22"/>
              </w:rPr>
              <w:t xml:space="preserve">make an assignment of a lower grade with explanation, </w:t>
            </w:r>
          </w:p>
          <w:p w:rsidR="005769C4" w:rsidRPr="0016366B" w:rsidRDefault="005769C4" w:rsidP="005769C4">
            <w:pPr>
              <w:pStyle w:val="Default"/>
              <w:numPr>
                <w:ilvl w:val="0"/>
                <w:numId w:val="19"/>
              </w:numPr>
              <w:ind w:left="720" w:hanging="660"/>
              <w:rPr>
                <w:sz w:val="22"/>
                <w:szCs w:val="22"/>
              </w:rPr>
            </w:pPr>
            <w:r w:rsidRPr="0016366B">
              <w:rPr>
                <w:sz w:val="22"/>
                <w:szCs w:val="22"/>
              </w:rPr>
              <w:t xml:space="preserve">require additional academic assignments and issue a lower grade upon completion to the maximum grade “C”, </w:t>
            </w:r>
          </w:p>
          <w:p w:rsidR="005769C4" w:rsidRPr="0016366B" w:rsidRDefault="005769C4" w:rsidP="005769C4">
            <w:pPr>
              <w:pStyle w:val="Default"/>
              <w:numPr>
                <w:ilvl w:val="0"/>
                <w:numId w:val="19"/>
              </w:numPr>
              <w:ind w:left="720" w:hanging="660"/>
              <w:rPr>
                <w:sz w:val="22"/>
                <w:szCs w:val="22"/>
              </w:rPr>
            </w:pPr>
            <w:r w:rsidRPr="0016366B">
              <w:rPr>
                <w:sz w:val="22"/>
                <w:szCs w:val="22"/>
              </w:rPr>
              <w:t xml:space="preserve">make an automatic assignment of a failing grade, </w:t>
            </w:r>
          </w:p>
          <w:p w:rsidR="005769C4" w:rsidRPr="0016366B" w:rsidRDefault="005769C4" w:rsidP="005769C4">
            <w:pPr>
              <w:pStyle w:val="Default"/>
              <w:numPr>
                <w:ilvl w:val="0"/>
                <w:numId w:val="19"/>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5769C4" w:rsidRPr="0016366B" w:rsidRDefault="005769C4" w:rsidP="006D67D8">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rFonts w:cs="Arial"/>
                <w:szCs w:val="22"/>
                <w:u w:val="single"/>
              </w:rPr>
            </w:pPr>
            <w:r w:rsidRPr="0016366B">
              <w:rPr>
                <w:rFonts w:cs="Arial"/>
                <w:szCs w:val="22"/>
                <w:u w:val="single"/>
              </w:rPr>
              <w:t>Student Portal:</w:t>
            </w:r>
          </w:p>
          <w:p w:rsidR="005769C4" w:rsidRPr="0016366B" w:rsidRDefault="005769C4" w:rsidP="006D67D8">
            <w:pPr>
              <w:pStyle w:val="NormalWeb"/>
              <w:spacing w:before="0" w:beforeAutospacing="0" w:after="0" w:afterAutospacing="0"/>
              <w:rPr>
                <w:i/>
                <w:sz w:val="22"/>
                <w:szCs w:val="22"/>
              </w:rPr>
            </w:pPr>
            <w:r w:rsidRPr="0016366B">
              <w:rPr>
                <w:rFonts w:ascii="Arial" w:hAnsi="Arial" w:cs="Arial"/>
                <w:sz w:val="22"/>
                <w:szCs w:val="22"/>
              </w:rPr>
              <w:t xml:space="preserve">The Sault College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rFonts w:cs="Arial"/>
                <w:szCs w:val="22"/>
                <w:u w:val="single"/>
                <w:lang w:eastAsia="en-CA"/>
              </w:rPr>
            </w:pPr>
            <w:r w:rsidRPr="0016366B">
              <w:rPr>
                <w:rFonts w:cs="Arial"/>
                <w:szCs w:val="22"/>
                <w:u w:val="single"/>
                <w:lang w:eastAsia="en-CA"/>
              </w:rPr>
              <w:t>Electronic Devices in the Classroom:</w:t>
            </w:r>
          </w:p>
          <w:p w:rsidR="005769C4" w:rsidRPr="0016366B" w:rsidRDefault="005769C4" w:rsidP="006D67D8">
            <w:pPr>
              <w:rPr>
                <w:rFonts w:cs="Arial"/>
                <w:szCs w:val="22"/>
                <w:lang w:eastAsia="en-CA"/>
              </w:rPr>
            </w:pPr>
            <w:r w:rsidRPr="0016366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cs="Arial"/>
                <w:bCs/>
                <w:szCs w:val="22"/>
                <w:lang w:eastAsia="en-CA"/>
              </w:rPr>
              <w:t>Where the use of an electronic device has been approved, the student agrees that materials recorded are for his/her use only, are not for distribution, and are the sole property of the College.</w:t>
            </w:r>
            <w:r w:rsidRPr="0016366B">
              <w:rPr>
                <w:rFonts w:cs="Arial"/>
                <w:szCs w:val="22"/>
                <w:lang w:eastAsia="en-CA"/>
              </w:rPr>
              <w:t xml:space="preserve"> </w:t>
            </w:r>
          </w:p>
          <w:p w:rsidR="005769C4" w:rsidRPr="0016366B" w:rsidRDefault="005769C4" w:rsidP="006D67D8">
            <w:pPr>
              <w:rPr>
                <w:szCs w:val="22"/>
              </w:rPr>
            </w:pPr>
          </w:p>
        </w:tc>
      </w:tr>
      <w:tr w:rsidR="005769C4" w:rsidRPr="0016366B" w:rsidTr="006D67D8">
        <w:trPr>
          <w:cantSplit/>
        </w:trPr>
        <w:tc>
          <w:tcPr>
            <w:tcW w:w="675" w:type="dxa"/>
          </w:tcPr>
          <w:p w:rsidR="005769C4" w:rsidRPr="0016366B" w:rsidRDefault="005769C4" w:rsidP="006D67D8">
            <w:pPr>
              <w:rPr>
                <w:szCs w:val="22"/>
              </w:rPr>
            </w:pPr>
          </w:p>
        </w:tc>
        <w:tc>
          <w:tcPr>
            <w:tcW w:w="8181" w:type="dxa"/>
          </w:tcPr>
          <w:p w:rsidR="005769C4" w:rsidRPr="0016366B" w:rsidRDefault="005769C4" w:rsidP="006D67D8">
            <w:pPr>
              <w:rPr>
                <w:rFonts w:cs="Arial"/>
                <w:szCs w:val="22"/>
                <w:u w:val="single"/>
              </w:rPr>
            </w:pPr>
            <w:r w:rsidRPr="0016366B">
              <w:rPr>
                <w:rFonts w:cs="Arial"/>
                <w:szCs w:val="22"/>
                <w:u w:val="single"/>
              </w:rPr>
              <w:t>Attendance:</w:t>
            </w:r>
          </w:p>
          <w:p w:rsidR="005769C4" w:rsidRPr="0016366B" w:rsidRDefault="005769C4" w:rsidP="006D67D8">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69C4" w:rsidRPr="0016366B" w:rsidRDefault="005769C4" w:rsidP="006D67D8">
            <w:pPr>
              <w:rPr>
                <w:rFonts w:cs="Arial"/>
                <w:szCs w:val="22"/>
                <w:u w:val="single"/>
                <w:lang w:eastAsia="en-CA"/>
              </w:rPr>
            </w:pPr>
          </w:p>
        </w:tc>
      </w:tr>
    </w:tbl>
    <w:p w:rsidR="007A496A" w:rsidRDefault="007A496A">
      <w:pPr>
        <w:pStyle w:val="EnvelopeReturn"/>
      </w:pPr>
    </w:p>
    <w:sectPr w:rsidR="007A496A" w:rsidSect="00BB5F74">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97E" w:rsidRDefault="005A097E">
      <w:r>
        <w:separator/>
      </w:r>
    </w:p>
  </w:endnote>
  <w:endnote w:type="continuationSeparator" w:id="0">
    <w:p w:rsidR="005A097E" w:rsidRDefault="005A0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97E" w:rsidRDefault="005A097E">
      <w:r>
        <w:separator/>
      </w:r>
    </w:p>
  </w:footnote>
  <w:footnote w:type="continuationSeparator" w:id="0">
    <w:p w:rsidR="005A097E" w:rsidRDefault="005A0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34" w:rsidRDefault="000D022F">
    <w:pPr>
      <w:pStyle w:val="Header"/>
      <w:framePr w:wrap="around" w:vAnchor="text" w:hAnchor="margin" w:xAlign="center" w:y="1"/>
      <w:rPr>
        <w:rStyle w:val="PageNumber"/>
      </w:rPr>
    </w:pPr>
    <w:r>
      <w:rPr>
        <w:rStyle w:val="PageNumber"/>
      </w:rPr>
      <w:fldChar w:fldCharType="begin"/>
    </w:r>
    <w:r w:rsidR="00FC1334">
      <w:rPr>
        <w:rStyle w:val="PageNumber"/>
      </w:rPr>
      <w:instrText xml:space="preserve">PAGE  </w:instrText>
    </w:r>
    <w:r>
      <w:rPr>
        <w:rStyle w:val="PageNumber"/>
      </w:rPr>
      <w:fldChar w:fldCharType="separate"/>
    </w:r>
    <w:r w:rsidR="00FC1334">
      <w:rPr>
        <w:rStyle w:val="PageNumber"/>
        <w:noProof/>
      </w:rPr>
      <w:t>1</w:t>
    </w:r>
    <w:r>
      <w:rPr>
        <w:rStyle w:val="PageNumber"/>
      </w:rPr>
      <w:fldChar w:fldCharType="end"/>
    </w:r>
  </w:p>
  <w:p w:rsidR="00FC1334" w:rsidRDefault="00FC13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34" w:rsidRDefault="000D022F">
    <w:pPr>
      <w:pStyle w:val="Header"/>
      <w:framePr w:wrap="around" w:vAnchor="text" w:hAnchor="margin" w:xAlign="center" w:y="1"/>
      <w:rPr>
        <w:rStyle w:val="PageNumber"/>
      </w:rPr>
    </w:pPr>
    <w:r>
      <w:rPr>
        <w:rStyle w:val="PageNumber"/>
      </w:rPr>
      <w:fldChar w:fldCharType="begin"/>
    </w:r>
    <w:r w:rsidR="00FC1334">
      <w:rPr>
        <w:rStyle w:val="PageNumber"/>
      </w:rPr>
      <w:instrText xml:space="preserve">PAGE  </w:instrText>
    </w:r>
    <w:r>
      <w:rPr>
        <w:rStyle w:val="PageNumber"/>
      </w:rPr>
      <w:fldChar w:fldCharType="separate"/>
    </w:r>
    <w:r w:rsidR="00AB5AE2">
      <w:rPr>
        <w:rStyle w:val="PageNumber"/>
        <w:noProof/>
      </w:rPr>
      <w:t>5</w:t>
    </w:r>
    <w:r>
      <w:rPr>
        <w:rStyle w:val="PageNumber"/>
      </w:rPr>
      <w:fldChar w:fldCharType="end"/>
    </w:r>
  </w:p>
  <w:tbl>
    <w:tblPr>
      <w:tblW w:w="0" w:type="auto"/>
      <w:tblLayout w:type="fixed"/>
      <w:tblLook w:val="0000"/>
    </w:tblPr>
    <w:tblGrid>
      <w:gridCol w:w="3794"/>
      <w:gridCol w:w="1134"/>
      <w:gridCol w:w="3928"/>
    </w:tblGrid>
    <w:tr w:rsidR="00FC1334" w:rsidRPr="0028344C">
      <w:tc>
        <w:tcPr>
          <w:tcW w:w="3794" w:type="dxa"/>
        </w:tcPr>
        <w:p w:rsidR="00FC1334" w:rsidRPr="0028344C" w:rsidRDefault="0028344C">
          <w:pPr>
            <w:rPr>
              <w:b/>
              <w:snapToGrid w:val="0"/>
            </w:rPr>
          </w:pPr>
          <w:r w:rsidRPr="0028344C">
            <w:rPr>
              <w:b/>
              <w:szCs w:val="22"/>
            </w:rPr>
            <w:t>PREVENTION AND MANAGEMENT OF INJURY</w:t>
          </w:r>
        </w:p>
      </w:tc>
      <w:tc>
        <w:tcPr>
          <w:tcW w:w="1134" w:type="dxa"/>
        </w:tcPr>
        <w:p w:rsidR="00FC1334" w:rsidRPr="0028344C" w:rsidRDefault="00FC1334">
          <w:pPr>
            <w:pStyle w:val="Header"/>
            <w:jc w:val="center"/>
            <w:rPr>
              <w:b/>
              <w:snapToGrid w:val="0"/>
            </w:rPr>
          </w:pPr>
        </w:p>
      </w:tc>
      <w:tc>
        <w:tcPr>
          <w:tcW w:w="3928" w:type="dxa"/>
        </w:tcPr>
        <w:p w:rsidR="00FC1334" w:rsidRPr="0028344C" w:rsidRDefault="0028344C">
          <w:pPr>
            <w:pStyle w:val="Header"/>
            <w:jc w:val="right"/>
            <w:rPr>
              <w:b/>
              <w:snapToGrid w:val="0"/>
            </w:rPr>
          </w:pPr>
          <w:r w:rsidRPr="0028344C">
            <w:rPr>
              <w:b/>
              <w:snapToGrid w:val="0"/>
            </w:rPr>
            <w:t>FIT203</w:t>
          </w:r>
        </w:p>
      </w:tc>
    </w:tr>
  </w:tbl>
  <w:p w:rsidR="00FC1334" w:rsidRDefault="00FC133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870BF9"/>
    <w:multiLevelType w:val="hybridMultilevel"/>
    <w:tmpl w:val="FC1090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AC42BF"/>
    <w:multiLevelType w:val="hybridMultilevel"/>
    <w:tmpl w:val="C8A05CD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442C44"/>
    <w:multiLevelType w:val="multilevel"/>
    <w:tmpl w:val="12F22DCE"/>
    <w:lvl w:ilvl="0">
      <w:start w:val="1"/>
      <w:numFmt w:val="decimal"/>
      <w:lvlText w:val="%1."/>
      <w:lvlJc w:val="left"/>
      <w:pPr>
        <w:ind w:left="36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783CE2"/>
    <w:multiLevelType w:val="multilevel"/>
    <w:tmpl w:val="0A0E1ED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613238"/>
    <w:multiLevelType w:val="hybridMultilevel"/>
    <w:tmpl w:val="A9B867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EDA26BA"/>
    <w:multiLevelType w:val="hybridMultilevel"/>
    <w:tmpl w:val="134A8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14"/>
  </w:num>
  <w:num w:numId="14">
    <w:abstractNumId w:val="13"/>
  </w:num>
  <w:num w:numId="15">
    <w:abstractNumId w:val="2"/>
  </w:num>
  <w:num w:numId="16">
    <w:abstractNumId w:val="11"/>
  </w:num>
  <w:num w:numId="17">
    <w:abstractNumId w:val="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2757"/>
    <w:rsid w:val="00036803"/>
    <w:rsid w:val="000B1DF5"/>
    <w:rsid w:val="000B7C71"/>
    <w:rsid w:val="000C1721"/>
    <w:rsid w:val="000D022F"/>
    <w:rsid w:val="00122141"/>
    <w:rsid w:val="00190EFC"/>
    <w:rsid w:val="0028344C"/>
    <w:rsid w:val="00303A7D"/>
    <w:rsid w:val="003A574B"/>
    <w:rsid w:val="003C2522"/>
    <w:rsid w:val="003D5596"/>
    <w:rsid w:val="00426385"/>
    <w:rsid w:val="00537610"/>
    <w:rsid w:val="005769C4"/>
    <w:rsid w:val="005A097E"/>
    <w:rsid w:val="005B2757"/>
    <w:rsid w:val="005C0000"/>
    <w:rsid w:val="005F5B33"/>
    <w:rsid w:val="00633868"/>
    <w:rsid w:val="006340D7"/>
    <w:rsid w:val="006608CE"/>
    <w:rsid w:val="00680FAD"/>
    <w:rsid w:val="0068215D"/>
    <w:rsid w:val="00727B75"/>
    <w:rsid w:val="007A496A"/>
    <w:rsid w:val="00835C07"/>
    <w:rsid w:val="00840F06"/>
    <w:rsid w:val="008B0AC0"/>
    <w:rsid w:val="008E3C6C"/>
    <w:rsid w:val="00991B2F"/>
    <w:rsid w:val="00994FC9"/>
    <w:rsid w:val="009E5C72"/>
    <w:rsid w:val="00A1254B"/>
    <w:rsid w:val="00A5445D"/>
    <w:rsid w:val="00A60D53"/>
    <w:rsid w:val="00AB5AE2"/>
    <w:rsid w:val="00B43C14"/>
    <w:rsid w:val="00B5441C"/>
    <w:rsid w:val="00B86145"/>
    <w:rsid w:val="00B933A9"/>
    <w:rsid w:val="00BA097E"/>
    <w:rsid w:val="00BB5F74"/>
    <w:rsid w:val="00C42C29"/>
    <w:rsid w:val="00CD7165"/>
    <w:rsid w:val="00D027BD"/>
    <w:rsid w:val="00D23AF5"/>
    <w:rsid w:val="00D37749"/>
    <w:rsid w:val="00D41D23"/>
    <w:rsid w:val="00DE6B74"/>
    <w:rsid w:val="00E92CF0"/>
    <w:rsid w:val="00E97F59"/>
    <w:rsid w:val="00F24555"/>
    <w:rsid w:val="00F95DB8"/>
    <w:rsid w:val="00FC1334"/>
    <w:rsid w:val="00FD391B"/>
    <w:rsid w:val="00FE63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C07"/>
    <w:rPr>
      <w:rFonts w:ascii="Arial" w:hAnsi="Arial"/>
      <w:sz w:val="22"/>
      <w:lang w:val="en-US" w:eastAsia="en-US"/>
    </w:rPr>
  </w:style>
  <w:style w:type="paragraph" w:styleId="Heading1">
    <w:name w:val="heading 1"/>
    <w:basedOn w:val="Normal"/>
    <w:next w:val="Normal"/>
    <w:qFormat/>
    <w:rsid w:val="00835C07"/>
    <w:pPr>
      <w:keepNext/>
      <w:jc w:val="center"/>
      <w:outlineLvl w:val="0"/>
    </w:pPr>
    <w:rPr>
      <w:b/>
      <w:u w:val="single"/>
      <w:lang w:val="en-GB"/>
    </w:rPr>
  </w:style>
  <w:style w:type="paragraph" w:styleId="Heading2">
    <w:name w:val="heading 2"/>
    <w:basedOn w:val="Normal"/>
    <w:next w:val="Normal"/>
    <w:qFormat/>
    <w:rsid w:val="00835C07"/>
    <w:pPr>
      <w:keepNext/>
      <w:jc w:val="center"/>
      <w:outlineLvl w:val="1"/>
    </w:pPr>
    <w:rPr>
      <w:b/>
      <w:lang w:val="en-GB"/>
    </w:rPr>
  </w:style>
  <w:style w:type="paragraph" w:styleId="Heading3">
    <w:name w:val="heading 3"/>
    <w:basedOn w:val="Normal"/>
    <w:next w:val="Normal"/>
    <w:qFormat/>
    <w:rsid w:val="00835C0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35C07"/>
  </w:style>
  <w:style w:type="paragraph" w:styleId="Header">
    <w:name w:val="header"/>
    <w:basedOn w:val="Normal"/>
    <w:rsid w:val="00835C07"/>
    <w:pPr>
      <w:tabs>
        <w:tab w:val="center" w:pos="4320"/>
        <w:tab w:val="right" w:pos="8640"/>
      </w:tabs>
    </w:pPr>
  </w:style>
  <w:style w:type="paragraph" w:styleId="Footer">
    <w:name w:val="footer"/>
    <w:basedOn w:val="Normal"/>
    <w:rsid w:val="00835C07"/>
    <w:pPr>
      <w:tabs>
        <w:tab w:val="center" w:pos="4320"/>
        <w:tab w:val="right" w:pos="8640"/>
      </w:tabs>
    </w:pPr>
  </w:style>
  <w:style w:type="character" w:styleId="PageNumber">
    <w:name w:val="page number"/>
    <w:basedOn w:val="DefaultParagraphFont"/>
    <w:rsid w:val="00835C07"/>
  </w:style>
  <w:style w:type="character" w:styleId="LineNumber">
    <w:name w:val="line number"/>
    <w:basedOn w:val="DefaultParagraphFont"/>
    <w:rsid w:val="00835C07"/>
  </w:style>
  <w:style w:type="paragraph" w:styleId="BodyTextIndent">
    <w:name w:val="Body Text Indent"/>
    <w:basedOn w:val="Normal"/>
    <w:rsid w:val="00835C07"/>
    <w:pPr>
      <w:ind w:left="450" w:hanging="450"/>
    </w:pPr>
    <w:rPr>
      <w:lang w:val="en-GB"/>
    </w:rPr>
  </w:style>
  <w:style w:type="paragraph" w:styleId="BodyText">
    <w:name w:val="Body Text"/>
    <w:basedOn w:val="Normal"/>
    <w:rsid w:val="00835C07"/>
    <w:pPr>
      <w:jc w:val="center"/>
    </w:pPr>
    <w:rPr>
      <w:rFonts w:cs="Arial"/>
      <w:lang w:val="en-CA"/>
    </w:rPr>
  </w:style>
  <w:style w:type="paragraph" w:styleId="ListParagraph">
    <w:name w:val="List Paragraph"/>
    <w:basedOn w:val="Normal"/>
    <w:uiPriority w:val="34"/>
    <w:qFormat/>
    <w:rsid w:val="00A5445D"/>
    <w:pPr>
      <w:ind w:left="720"/>
    </w:pPr>
  </w:style>
  <w:style w:type="character" w:styleId="Hyperlink">
    <w:name w:val="Hyperlink"/>
    <w:basedOn w:val="DefaultParagraphFont"/>
    <w:rsid w:val="005769C4"/>
    <w:rPr>
      <w:color w:val="0000FF"/>
      <w:u w:val="single"/>
    </w:rPr>
  </w:style>
  <w:style w:type="paragraph" w:customStyle="1" w:styleId="Default">
    <w:name w:val="Default"/>
    <w:rsid w:val="005769C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769C4"/>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5769C4"/>
    <w:rPr>
      <w:rFonts w:ascii="Consolas" w:hAnsi="Consolas"/>
      <w:sz w:val="21"/>
      <w:szCs w:val="21"/>
      <w:lang w:val="en-CA"/>
    </w:rPr>
  </w:style>
  <w:style w:type="character" w:customStyle="1" w:styleId="PlainTextChar">
    <w:name w:val="Plain Text Char"/>
    <w:basedOn w:val="DefaultParagraphFont"/>
    <w:link w:val="PlainText"/>
    <w:uiPriority w:val="99"/>
    <w:rsid w:val="005769C4"/>
    <w:rPr>
      <w:rFonts w:ascii="Consolas" w:hAnsi="Consolas"/>
      <w:sz w:val="21"/>
      <w:szCs w:val="21"/>
      <w:lang w:eastAsia="en-US"/>
    </w:rPr>
  </w:style>
  <w:style w:type="paragraph" w:styleId="BalloonText">
    <w:name w:val="Balloon Text"/>
    <w:basedOn w:val="Normal"/>
    <w:link w:val="BalloonTextChar"/>
    <w:rsid w:val="00537610"/>
    <w:rPr>
      <w:rFonts w:ascii="Tahoma" w:hAnsi="Tahoma" w:cs="Tahoma"/>
      <w:sz w:val="16"/>
      <w:szCs w:val="16"/>
    </w:rPr>
  </w:style>
  <w:style w:type="character" w:customStyle="1" w:styleId="BalloonTextChar">
    <w:name w:val="Balloon Text Char"/>
    <w:basedOn w:val="DefaultParagraphFont"/>
    <w:link w:val="BalloonText"/>
    <w:rsid w:val="0053761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3E2DB-255A-4C4F-B658-BF4E6C24DD76}"/>
</file>

<file path=customXml/itemProps2.xml><?xml version="1.0" encoding="utf-8"?>
<ds:datastoreItem xmlns:ds="http://schemas.openxmlformats.org/officeDocument/2006/customXml" ds:itemID="{74A6EF2E-DBC2-4FDE-9B32-084395273FB9}"/>
</file>

<file path=customXml/itemProps3.xml><?xml version="1.0" encoding="utf-8"?>
<ds:datastoreItem xmlns:ds="http://schemas.openxmlformats.org/officeDocument/2006/customXml" ds:itemID="{96B6E6F2-B40F-4A58-B6B8-4CD1306C6B86}"/>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3</TotalTime>
  <Pages>5</Pages>
  <Words>1325</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2009-10-26T20:06:00Z</cp:lastPrinted>
  <dcterms:created xsi:type="dcterms:W3CDTF">2009-09-08T18:57:00Z</dcterms:created>
  <dcterms:modified xsi:type="dcterms:W3CDTF">2009-10-26T20:07:00Z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4888400</vt:r8>
  </property>
</Properties>
</file>